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EC" w:rsidRPr="006311C7" w:rsidRDefault="008308EC" w:rsidP="006311C7">
      <w:pPr>
        <w:spacing w:after="0" w:line="240" w:lineRule="auto"/>
        <w:ind w:right="-36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8308EC" w:rsidRDefault="008308EC" w:rsidP="008308EC">
      <w:pPr>
        <w:pStyle w:val="Paragraphedeliste"/>
        <w:spacing w:after="0" w:line="240" w:lineRule="auto"/>
        <w:ind w:left="567" w:right="-360"/>
        <w:rPr>
          <w:rFonts w:ascii="Century Gothic" w:hAnsi="Century Gothic" w:cstheme="majorBidi"/>
          <w:sz w:val="24"/>
          <w:szCs w:val="24"/>
          <w:lang w:val="fr-FR"/>
        </w:rPr>
      </w:pPr>
    </w:p>
    <w:p w:rsidR="008308EC" w:rsidRDefault="008308EC" w:rsidP="008308EC">
      <w:pPr>
        <w:pStyle w:val="Paragraphedeliste"/>
        <w:spacing w:after="0" w:line="240" w:lineRule="auto"/>
        <w:ind w:left="567" w:right="-360"/>
        <w:rPr>
          <w:rFonts w:ascii="Century Gothic" w:hAnsi="Century Gothic" w:cstheme="majorBidi"/>
          <w:sz w:val="24"/>
          <w:szCs w:val="24"/>
          <w:lang w:val="fr-FR"/>
        </w:rPr>
      </w:pPr>
    </w:p>
    <w:p w:rsidR="008308EC" w:rsidRDefault="008308EC" w:rsidP="008308EC">
      <w:pPr>
        <w:pStyle w:val="Paragraphedeliste"/>
        <w:spacing w:after="0" w:line="240" w:lineRule="auto"/>
        <w:ind w:left="567" w:right="-360"/>
        <w:rPr>
          <w:rFonts w:ascii="Century Gothic" w:hAnsi="Century Gothic" w:cstheme="majorBidi"/>
          <w:sz w:val="24"/>
          <w:szCs w:val="24"/>
          <w:lang w:val="fr-FR"/>
        </w:rPr>
      </w:pPr>
    </w:p>
    <w:p w:rsidR="008308EC" w:rsidRDefault="008308EC" w:rsidP="008308EC">
      <w:pPr>
        <w:pStyle w:val="Paragraphedeliste"/>
        <w:spacing w:after="0" w:line="240" w:lineRule="auto"/>
        <w:ind w:left="567" w:right="-360"/>
        <w:rPr>
          <w:rFonts w:ascii="Century Gothic" w:hAnsi="Century Gothic" w:cstheme="majorBidi"/>
          <w:sz w:val="24"/>
          <w:szCs w:val="24"/>
          <w:lang w:val="fr-FR"/>
        </w:rPr>
      </w:pPr>
    </w:p>
    <w:p w:rsidR="008308EC" w:rsidRDefault="008308EC" w:rsidP="008308EC">
      <w:pPr>
        <w:pStyle w:val="Paragraphedeliste"/>
        <w:spacing w:after="0" w:line="240" w:lineRule="auto"/>
        <w:ind w:left="567" w:right="-360"/>
        <w:rPr>
          <w:rFonts w:ascii="Century Gothic" w:hAnsi="Century Gothic" w:cstheme="majorBidi"/>
          <w:sz w:val="24"/>
          <w:szCs w:val="24"/>
          <w:lang w:val="fr-FR"/>
        </w:rPr>
      </w:pPr>
    </w:p>
    <w:p w:rsidR="009D4D3F" w:rsidRPr="009E1E91" w:rsidRDefault="009D4D3F" w:rsidP="009D4D3F">
      <w:pPr>
        <w:jc w:val="center"/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</w:pPr>
      <w:r w:rsidRPr="009E1E91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 xml:space="preserve">Procédure de </w:t>
      </w:r>
      <w:r w:rsidR="00BD2B14" w:rsidRPr="009E1E91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 xml:space="preserve">la </w:t>
      </w:r>
      <w:r w:rsidRPr="009E1E91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gérance d’un cabinet Médical</w:t>
      </w:r>
    </w:p>
    <w:p w:rsidR="00E600A2" w:rsidRPr="009E1E91" w:rsidRDefault="00E600A2" w:rsidP="009D4D3F">
      <w:pPr>
        <w:jc w:val="center"/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</w:pPr>
    </w:p>
    <w:p w:rsidR="00E600A2" w:rsidRPr="009E1E91" w:rsidRDefault="00E600A2" w:rsidP="009D4D3F">
      <w:pPr>
        <w:jc w:val="center"/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</w:pPr>
    </w:p>
    <w:p w:rsidR="00D347CC" w:rsidRPr="009C419D" w:rsidRDefault="00D347CC" w:rsidP="003C7E22">
      <w:pPr>
        <w:pStyle w:val="Paragraphedeliste"/>
        <w:numPr>
          <w:ilvl w:val="0"/>
          <w:numId w:val="1"/>
        </w:numPr>
        <w:spacing w:line="360" w:lineRule="auto"/>
        <w:ind w:left="142" w:right="-567" w:hanging="426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C419D">
        <w:rPr>
          <w:rFonts w:asciiTheme="majorBidi" w:hAnsiTheme="majorBidi" w:cstheme="majorBidi"/>
          <w:b/>
          <w:bCs/>
          <w:sz w:val="24"/>
          <w:szCs w:val="24"/>
          <w:lang w:val="fr-FR"/>
        </w:rPr>
        <w:t>Une demande</w:t>
      </w:r>
      <w:r w:rsidRPr="009C419D">
        <w:rPr>
          <w:rFonts w:asciiTheme="majorBidi" w:hAnsiTheme="majorBidi" w:cstheme="majorBidi"/>
          <w:sz w:val="24"/>
          <w:szCs w:val="24"/>
          <w:lang w:val="fr-FR"/>
        </w:rPr>
        <w:t xml:space="preserve"> d’autorisation de gérance formulée par le médecin remplaçant(ou les ayants droits</w:t>
      </w:r>
      <w:proofErr w:type="gramStart"/>
      <w:r w:rsidRPr="009C419D">
        <w:rPr>
          <w:rFonts w:asciiTheme="majorBidi" w:hAnsiTheme="majorBidi" w:cstheme="majorBidi"/>
          <w:sz w:val="24"/>
          <w:szCs w:val="24"/>
          <w:lang w:val="fr-FR"/>
        </w:rPr>
        <w:t>)en</w:t>
      </w:r>
      <w:proofErr w:type="gramEnd"/>
      <w:r w:rsidRPr="009C419D">
        <w:rPr>
          <w:rFonts w:asciiTheme="majorBidi" w:hAnsiTheme="majorBidi" w:cstheme="majorBidi"/>
          <w:sz w:val="24"/>
          <w:szCs w:val="24"/>
          <w:lang w:val="fr-FR"/>
        </w:rPr>
        <w:t xml:space="preserve"> précisant la durée de la gérance et déposé auprès du conseil régional 15 jrs  avant la date de Gérance de cabinet</w:t>
      </w:r>
      <w:r w:rsidR="00B91E2F" w:rsidRPr="009C419D">
        <w:rPr>
          <w:rFonts w:asciiTheme="majorBidi" w:hAnsiTheme="majorBidi" w:cstheme="majorBidi"/>
          <w:color w:val="17365D" w:themeColor="text2" w:themeShade="BF"/>
          <w:lang w:val="fr-FR"/>
        </w:rPr>
        <w:t xml:space="preserve"> </w:t>
      </w:r>
      <w:r w:rsidR="00B91E2F" w:rsidRPr="009C419D">
        <w:rPr>
          <w:rFonts w:asciiTheme="majorBidi" w:hAnsiTheme="majorBidi" w:cstheme="majorBidi"/>
          <w:color w:val="548DD4" w:themeColor="text2" w:themeTint="99"/>
          <w:lang w:val="fr-FR"/>
        </w:rPr>
        <w:t>(</w:t>
      </w:r>
      <w:r w:rsidR="00E6304C" w:rsidRPr="009C419D">
        <w:rPr>
          <w:rFonts w:asciiTheme="majorBidi" w:hAnsiTheme="majorBidi" w:cstheme="majorBidi"/>
          <w:b/>
          <w:bCs/>
          <w:i/>
          <w:iCs/>
          <w:color w:val="548DD4" w:themeColor="text2" w:themeTint="99"/>
          <w:lang w:val="fr-FR"/>
        </w:rPr>
        <w:t>G</w:t>
      </w:r>
      <w:r w:rsidR="006459CC" w:rsidRPr="009C419D">
        <w:rPr>
          <w:rFonts w:asciiTheme="majorBidi" w:hAnsiTheme="majorBidi" w:cstheme="majorBidi"/>
          <w:b/>
          <w:bCs/>
          <w:i/>
          <w:iCs/>
          <w:color w:val="548DD4" w:themeColor="text2" w:themeTint="99"/>
          <w:lang w:val="fr-FR"/>
        </w:rPr>
        <w:t>C</w:t>
      </w:r>
      <w:r w:rsidR="00E6304C" w:rsidRPr="009C419D">
        <w:rPr>
          <w:rFonts w:asciiTheme="majorBidi" w:hAnsiTheme="majorBidi" w:cstheme="majorBidi"/>
          <w:b/>
          <w:bCs/>
          <w:i/>
          <w:iCs/>
          <w:color w:val="548DD4" w:themeColor="text2" w:themeTint="99"/>
          <w:lang w:val="fr-FR"/>
        </w:rPr>
        <w:t>0</w:t>
      </w:r>
      <w:r w:rsidR="00B91E2F" w:rsidRPr="009C419D">
        <w:rPr>
          <w:rFonts w:asciiTheme="majorBidi" w:hAnsiTheme="majorBidi" w:cstheme="majorBidi"/>
          <w:b/>
          <w:bCs/>
          <w:i/>
          <w:iCs/>
          <w:color w:val="548DD4" w:themeColor="text2" w:themeTint="99"/>
          <w:lang w:val="fr-FR"/>
        </w:rPr>
        <w:t>1</w:t>
      </w:r>
      <w:r w:rsidR="00130E20" w:rsidRPr="009C419D">
        <w:rPr>
          <w:rFonts w:asciiTheme="majorBidi" w:hAnsiTheme="majorBidi" w:cstheme="majorBidi"/>
          <w:color w:val="548DD4" w:themeColor="text2" w:themeTint="99"/>
          <w:lang w:val="fr-FR"/>
        </w:rPr>
        <w:t xml:space="preserve"> </w:t>
      </w:r>
      <w:r w:rsidR="00B91E2F" w:rsidRPr="009C419D">
        <w:rPr>
          <w:rFonts w:asciiTheme="majorBidi" w:hAnsiTheme="majorBidi" w:cstheme="majorBidi"/>
          <w:color w:val="548DD4" w:themeColor="text2" w:themeTint="99"/>
          <w:lang w:val="fr-FR"/>
        </w:rPr>
        <w:t>)</w:t>
      </w:r>
    </w:p>
    <w:p w:rsidR="00D347CC" w:rsidRPr="009E1E91" w:rsidRDefault="00684491" w:rsidP="003C7E22">
      <w:pPr>
        <w:pStyle w:val="Paragraphedeliste"/>
        <w:numPr>
          <w:ilvl w:val="0"/>
          <w:numId w:val="1"/>
        </w:numPr>
        <w:spacing w:line="360" w:lineRule="auto"/>
        <w:ind w:left="142" w:right="-567" w:hanging="426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Le </w:t>
      </w:r>
      <w:r w:rsidR="00D347CC" w:rsidRPr="009E1E91">
        <w:rPr>
          <w:rFonts w:asciiTheme="majorBidi" w:hAnsiTheme="majorBidi" w:cstheme="majorBidi"/>
          <w:b/>
          <w:bCs/>
          <w:sz w:val="24"/>
          <w:szCs w:val="24"/>
          <w:lang w:val="fr-FR"/>
        </w:rPr>
        <w:t>Certificat décès</w:t>
      </w:r>
      <w:r w:rsidR="002428A6" w:rsidRPr="009E1E91">
        <w:rPr>
          <w:rFonts w:asciiTheme="majorBidi" w:hAnsiTheme="majorBidi" w:cstheme="majorBidi"/>
          <w:b/>
          <w:bCs/>
          <w:sz w:val="24"/>
          <w:szCs w:val="24"/>
          <w:lang w:val="fr-FR"/>
        </w:rPr>
        <w:t> </w:t>
      </w:r>
    </w:p>
    <w:p w:rsidR="00D347CC" w:rsidRPr="009E1E91" w:rsidRDefault="00684491" w:rsidP="00684491">
      <w:pPr>
        <w:pStyle w:val="Paragraphedeliste"/>
        <w:numPr>
          <w:ilvl w:val="0"/>
          <w:numId w:val="1"/>
        </w:numPr>
        <w:spacing w:line="360" w:lineRule="auto"/>
        <w:ind w:left="142" w:right="-567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La p</w:t>
      </w:r>
      <w:r w:rsidR="00D347CC" w:rsidRPr="009E1E91">
        <w:rPr>
          <w:rFonts w:asciiTheme="majorBidi" w:hAnsiTheme="majorBidi" w:cstheme="majorBidi"/>
          <w:b/>
          <w:bCs/>
          <w:sz w:val="24"/>
          <w:szCs w:val="24"/>
          <w:lang w:val="fr-FR"/>
        </w:rPr>
        <w:t>rocuration des Ayants</w:t>
      </w:r>
      <w:r w:rsidR="00C752C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droit </w:t>
      </w:r>
    </w:p>
    <w:p w:rsidR="00D347CC" w:rsidRPr="009E1E91" w:rsidRDefault="00684491" w:rsidP="00684491">
      <w:pPr>
        <w:pStyle w:val="Paragraphedeliste"/>
        <w:numPr>
          <w:ilvl w:val="0"/>
          <w:numId w:val="1"/>
        </w:numPr>
        <w:spacing w:line="360" w:lineRule="auto"/>
        <w:ind w:left="142" w:right="-567" w:hanging="426"/>
        <w:jc w:val="both"/>
        <w:rPr>
          <w:rFonts w:asciiTheme="majorBidi" w:hAnsiTheme="majorBidi" w:cstheme="majorBidi"/>
          <w:color w:val="548DD4" w:themeColor="text2" w:themeTint="99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Le c</w:t>
      </w:r>
      <w:r w:rsidR="00D347CC" w:rsidRPr="009E1E91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ontrat de gérance </w:t>
      </w:r>
      <w:r w:rsidR="00D347CC" w:rsidRPr="009E1E91">
        <w:rPr>
          <w:rFonts w:asciiTheme="majorBidi" w:hAnsiTheme="majorBidi" w:cstheme="majorBidi"/>
          <w:sz w:val="24"/>
          <w:szCs w:val="24"/>
          <w:lang w:val="fr-FR"/>
        </w:rPr>
        <w:t>conclue entre le Médecin et les ayants droit</w:t>
      </w:r>
      <w:r w:rsidR="00130E20" w:rsidRPr="009E1E91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D347CC" w:rsidRPr="009E1E91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277428" w:rsidRPr="00A52370">
        <w:rPr>
          <w:rFonts w:asciiTheme="majorBidi" w:hAnsiTheme="majorBidi" w:cstheme="majorBidi"/>
          <w:b/>
          <w:bCs/>
          <w:color w:val="548DD4" w:themeColor="text2" w:themeTint="99"/>
          <w:sz w:val="20"/>
          <w:szCs w:val="20"/>
          <w:lang w:val="fr-FR"/>
        </w:rPr>
        <w:t>(C</w:t>
      </w:r>
      <w:r w:rsidR="00E6304C" w:rsidRPr="00A52370">
        <w:rPr>
          <w:rFonts w:asciiTheme="majorBidi" w:hAnsiTheme="majorBidi" w:cstheme="majorBidi"/>
          <w:b/>
          <w:bCs/>
          <w:color w:val="548DD4" w:themeColor="text2" w:themeTint="99"/>
          <w:sz w:val="20"/>
          <w:szCs w:val="20"/>
          <w:lang w:val="fr-FR"/>
        </w:rPr>
        <w:t>-0</w:t>
      </w:r>
      <w:r w:rsidR="00277428" w:rsidRPr="00A52370">
        <w:rPr>
          <w:rFonts w:asciiTheme="majorBidi" w:hAnsiTheme="majorBidi" w:cstheme="majorBidi"/>
          <w:b/>
          <w:bCs/>
          <w:color w:val="548DD4" w:themeColor="text2" w:themeTint="99"/>
          <w:sz w:val="20"/>
          <w:szCs w:val="20"/>
          <w:lang w:val="fr-FR"/>
        </w:rPr>
        <w:t>7)</w:t>
      </w:r>
    </w:p>
    <w:p w:rsidR="00D347CC" w:rsidRDefault="00684491" w:rsidP="00684491">
      <w:pPr>
        <w:pStyle w:val="Paragraphedeliste"/>
        <w:numPr>
          <w:ilvl w:val="0"/>
          <w:numId w:val="1"/>
        </w:numPr>
        <w:spacing w:line="360" w:lineRule="auto"/>
        <w:ind w:left="142" w:right="-567" w:hanging="426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Un e</w:t>
      </w:r>
      <w:r w:rsidR="00D347CC" w:rsidRPr="009E1E91">
        <w:rPr>
          <w:rFonts w:asciiTheme="majorBidi" w:hAnsiTheme="majorBidi" w:cstheme="majorBidi"/>
          <w:b/>
          <w:bCs/>
          <w:sz w:val="24"/>
          <w:szCs w:val="24"/>
          <w:lang w:val="fr-FR"/>
        </w:rPr>
        <w:t>ngagement sur l’honneur</w:t>
      </w:r>
      <w:r w:rsidR="00D347CC" w:rsidRPr="009E1E91">
        <w:rPr>
          <w:rFonts w:asciiTheme="majorBidi" w:hAnsiTheme="majorBidi" w:cstheme="majorBidi"/>
          <w:sz w:val="24"/>
          <w:szCs w:val="24"/>
          <w:lang w:val="fr-FR"/>
        </w:rPr>
        <w:t xml:space="preserve"> du médecin de n’exercer aucune autre </w:t>
      </w:r>
      <w:r w:rsidR="00C752CE" w:rsidRPr="00C752CE">
        <w:rPr>
          <w:rFonts w:asciiTheme="majorBidi" w:hAnsiTheme="majorBidi" w:cstheme="majorBidi"/>
          <w:sz w:val="24"/>
          <w:szCs w:val="24"/>
          <w:lang w:val="fr-FR"/>
        </w:rPr>
        <w:t>activité  professionnelle</w:t>
      </w:r>
    </w:p>
    <w:p w:rsidR="00FC569F" w:rsidRPr="00C752CE" w:rsidRDefault="00FC569F" w:rsidP="00684491">
      <w:pPr>
        <w:pStyle w:val="Paragraphedeliste"/>
        <w:numPr>
          <w:ilvl w:val="0"/>
          <w:numId w:val="1"/>
        </w:numPr>
        <w:spacing w:line="360" w:lineRule="auto"/>
        <w:ind w:left="142" w:right="-567" w:hanging="426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Une copie du contrat d’assurance </w:t>
      </w:r>
      <w:r w:rsidRPr="00FC569F">
        <w:rPr>
          <w:rFonts w:asciiTheme="majorBidi" w:hAnsiTheme="majorBidi" w:cstheme="majorBidi"/>
          <w:sz w:val="24"/>
          <w:szCs w:val="24"/>
          <w:lang w:val="fr-FR"/>
        </w:rPr>
        <w:t>couvrant la responsabilité civile du médecin remplaçant</w:t>
      </w:r>
    </w:p>
    <w:p w:rsidR="00E6304C" w:rsidRPr="00E6304C" w:rsidRDefault="00D347CC" w:rsidP="003C7E22">
      <w:pPr>
        <w:pStyle w:val="Paragraphedeliste"/>
        <w:numPr>
          <w:ilvl w:val="0"/>
          <w:numId w:val="1"/>
        </w:numPr>
        <w:spacing w:line="360" w:lineRule="auto"/>
        <w:ind w:left="142" w:right="-567" w:hanging="426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E1E91">
        <w:rPr>
          <w:rFonts w:asciiTheme="majorBidi" w:hAnsiTheme="majorBidi" w:cstheme="majorBidi"/>
          <w:b/>
          <w:bCs/>
          <w:sz w:val="24"/>
          <w:szCs w:val="24"/>
          <w:lang w:val="fr-FR"/>
        </w:rPr>
        <w:t>La liste des héritiers</w:t>
      </w:r>
      <w:r w:rsidR="00C752CE">
        <w:rPr>
          <w:rFonts w:asciiTheme="majorBidi" w:hAnsiTheme="majorBidi" w:cstheme="majorBidi"/>
          <w:b/>
          <w:bCs/>
          <w:sz w:val="24"/>
          <w:szCs w:val="24"/>
          <w:lang w:val="fr-FR"/>
        </w:rPr>
        <w:t> </w:t>
      </w:r>
      <w:r w:rsidR="00C752CE">
        <w:rPr>
          <w:rFonts w:asciiTheme="majorBidi" w:hAnsiTheme="majorBidi" w:cstheme="majorBidi"/>
          <w:sz w:val="24"/>
          <w:szCs w:val="24"/>
          <w:lang w:val="fr-FR"/>
        </w:rPr>
        <w:t xml:space="preserve">: </w:t>
      </w:r>
      <w:r w:rsidRPr="009E1E91">
        <w:rPr>
          <w:rFonts w:asciiTheme="majorBidi" w:hAnsiTheme="majorBidi" w:cstheme="majorBidi"/>
          <w:sz w:val="24"/>
          <w:szCs w:val="24"/>
          <w:lang w:val="fr-FR"/>
        </w:rPr>
        <w:t>Acte /Contrat d’hé</w:t>
      </w:r>
      <w:r w:rsidR="003C7E22">
        <w:rPr>
          <w:rFonts w:asciiTheme="majorBidi" w:hAnsiTheme="majorBidi" w:cstheme="majorBidi"/>
          <w:sz w:val="24"/>
          <w:szCs w:val="24"/>
          <w:lang w:val="fr-FR"/>
        </w:rPr>
        <w:t>ritage/ règlement de succession</w:t>
      </w:r>
      <w:r w:rsidRPr="009E1E91">
        <w:rPr>
          <w:rFonts w:asciiTheme="majorBidi" w:hAnsiTheme="majorBidi" w:cstheme="majorBidi"/>
          <w:sz w:val="24"/>
          <w:szCs w:val="24"/>
          <w:lang w:val="fr-FR"/>
        </w:rPr>
        <w:t xml:space="preserve">            </w:t>
      </w:r>
      <w:r w:rsidRPr="009E1E91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Pr="009E1E91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Pr="009E1E91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Pr="009E1E91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Pr="009E1E91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</w:p>
    <w:p w:rsidR="00E6304C" w:rsidRDefault="00E6304C" w:rsidP="00E6304C">
      <w:pPr>
        <w:spacing w:line="360" w:lineRule="auto"/>
        <w:ind w:right="-567"/>
        <w:rPr>
          <w:rFonts w:asciiTheme="majorBidi" w:hAnsiTheme="majorBidi" w:cstheme="majorBidi"/>
          <w:b/>
          <w:bCs/>
          <w:sz w:val="24"/>
          <w:szCs w:val="24"/>
        </w:rPr>
      </w:pPr>
    </w:p>
    <w:p w:rsidR="00D347CC" w:rsidRPr="00E6304C" w:rsidRDefault="00D347CC" w:rsidP="00E6304C">
      <w:pPr>
        <w:spacing w:line="360" w:lineRule="auto"/>
        <w:ind w:right="-567"/>
        <w:rPr>
          <w:rFonts w:asciiTheme="majorBidi" w:hAnsiTheme="majorBidi" w:cstheme="majorBidi"/>
          <w:sz w:val="24"/>
          <w:szCs w:val="24"/>
        </w:rPr>
      </w:pPr>
      <w:r w:rsidRPr="00E6304C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6304C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6304C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72271F" w:rsidRPr="006311C7" w:rsidRDefault="00D347CC" w:rsidP="006311C7">
      <w:pPr>
        <w:pStyle w:val="Paragraphedeliste"/>
        <w:spacing w:line="360" w:lineRule="auto"/>
        <w:ind w:left="567"/>
        <w:rPr>
          <w:rFonts w:asciiTheme="majorBidi" w:hAnsiTheme="majorBidi" w:cstheme="majorBidi"/>
          <w:sz w:val="24"/>
          <w:szCs w:val="24"/>
          <w:lang w:val="fr-FR"/>
        </w:rPr>
      </w:pPr>
      <w:r w:rsidRPr="00277428">
        <w:rPr>
          <w:rFonts w:asciiTheme="majorBidi" w:hAnsiTheme="majorBidi" w:cstheme="majorBidi"/>
          <w:sz w:val="24"/>
          <w:szCs w:val="24"/>
          <w:lang w:val="fr-FR"/>
        </w:rPr>
        <w:t>Conformément à la disposition de l’article 55 de la loi n°131.13</w:t>
      </w:r>
      <w:r w:rsidR="004F1B22">
        <w:rPr>
          <w:rFonts w:asciiTheme="majorBidi" w:hAnsiTheme="majorBidi" w:cstheme="majorBidi"/>
          <w:sz w:val="24"/>
          <w:szCs w:val="24"/>
          <w:lang w:val="fr-FR"/>
        </w:rPr>
        <w:t>.</w:t>
      </w:r>
    </w:p>
    <w:sectPr w:rsidR="0072271F" w:rsidRPr="006311C7" w:rsidSect="009C419D">
      <w:pgSz w:w="11906" w:h="16838"/>
      <w:pgMar w:top="540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F20C6"/>
    <w:multiLevelType w:val="hybridMultilevel"/>
    <w:tmpl w:val="D132E808"/>
    <w:lvl w:ilvl="0" w:tplc="10C007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443EE"/>
    <w:multiLevelType w:val="hybridMultilevel"/>
    <w:tmpl w:val="706089D4"/>
    <w:lvl w:ilvl="0" w:tplc="FEFCD2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00BFA"/>
    <w:multiLevelType w:val="hybridMultilevel"/>
    <w:tmpl w:val="70F015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E2"/>
    <w:rsid w:val="0007193B"/>
    <w:rsid w:val="00074437"/>
    <w:rsid w:val="0008107D"/>
    <w:rsid w:val="00085D2D"/>
    <w:rsid w:val="000A2568"/>
    <w:rsid w:val="000B7393"/>
    <w:rsid w:val="000B7F39"/>
    <w:rsid w:val="000C3991"/>
    <w:rsid w:val="001110EB"/>
    <w:rsid w:val="00123774"/>
    <w:rsid w:val="00130157"/>
    <w:rsid w:val="00130E20"/>
    <w:rsid w:val="001379C3"/>
    <w:rsid w:val="00147191"/>
    <w:rsid w:val="001563A7"/>
    <w:rsid w:val="00167572"/>
    <w:rsid w:val="001740A3"/>
    <w:rsid w:val="001C5601"/>
    <w:rsid w:val="001D6F4D"/>
    <w:rsid w:val="001E1C21"/>
    <w:rsid w:val="001E6D07"/>
    <w:rsid w:val="002119CE"/>
    <w:rsid w:val="002428A6"/>
    <w:rsid w:val="002455C4"/>
    <w:rsid w:val="002508C5"/>
    <w:rsid w:val="002510EC"/>
    <w:rsid w:val="00252679"/>
    <w:rsid w:val="00254E76"/>
    <w:rsid w:val="00277428"/>
    <w:rsid w:val="0029639B"/>
    <w:rsid w:val="002A07F4"/>
    <w:rsid w:val="002A6B85"/>
    <w:rsid w:val="002B65F4"/>
    <w:rsid w:val="002E0E7D"/>
    <w:rsid w:val="002F0FED"/>
    <w:rsid w:val="00316E58"/>
    <w:rsid w:val="00340041"/>
    <w:rsid w:val="00343283"/>
    <w:rsid w:val="00393988"/>
    <w:rsid w:val="00393DCF"/>
    <w:rsid w:val="00394875"/>
    <w:rsid w:val="003B6DC6"/>
    <w:rsid w:val="003C49E2"/>
    <w:rsid w:val="003C68BC"/>
    <w:rsid w:val="003C7E22"/>
    <w:rsid w:val="003E4938"/>
    <w:rsid w:val="003E59E2"/>
    <w:rsid w:val="0041284F"/>
    <w:rsid w:val="00433D62"/>
    <w:rsid w:val="004471C8"/>
    <w:rsid w:val="00464BAE"/>
    <w:rsid w:val="004671C2"/>
    <w:rsid w:val="00484FFB"/>
    <w:rsid w:val="004B17F8"/>
    <w:rsid w:val="004B64CB"/>
    <w:rsid w:val="004D53D9"/>
    <w:rsid w:val="004F1B22"/>
    <w:rsid w:val="00541484"/>
    <w:rsid w:val="00550C34"/>
    <w:rsid w:val="00557A24"/>
    <w:rsid w:val="0058526A"/>
    <w:rsid w:val="00592DAD"/>
    <w:rsid w:val="005A1D64"/>
    <w:rsid w:val="005B7B59"/>
    <w:rsid w:val="005D327F"/>
    <w:rsid w:val="005F08E7"/>
    <w:rsid w:val="00615B67"/>
    <w:rsid w:val="006311C7"/>
    <w:rsid w:val="006328C9"/>
    <w:rsid w:val="006459CC"/>
    <w:rsid w:val="00684491"/>
    <w:rsid w:val="0069728D"/>
    <w:rsid w:val="006A257E"/>
    <w:rsid w:val="006D651D"/>
    <w:rsid w:val="006E7030"/>
    <w:rsid w:val="00705910"/>
    <w:rsid w:val="00707845"/>
    <w:rsid w:val="0072271F"/>
    <w:rsid w:val="00746487"/>
    <w:rsid w:val="007538F2"/>
    <w:rsid w:val="007552D7"/>
    <w:rsid w:val="00771461"/>
    <w:rsid w:val="00773905"/>
    <w:rsid w:val="007947E5"/>
    <w:rsid w:val="007A39E3"/>
    <w:rsid w:val="007B68F5"/>
    <w:rsid w:val="007D26F6"/>
    <w:rsid w:val="007E13C5"/>
    <w:rsid w:val="007E6551"/>
    <w:rsid w:val="008308EC"/>
    <w:rsid w:val="00874687"/>
    <w:rsid w:val="00880180"/>
    <w:rsid w:val="008C1959"/>
    <w:rsid w:val="008C581E"/>
    <w:rsid w:val="008C6820"/>
    <w:rsid w:val="008E631B"/>
    <w:rsid w:val="008E6FBF"/>
    <w:rsid w:val="008F2CC5"/>
    <w:rsid w:val="00916077"/>
    <w:rsid w:val="00921FB5"/>
    <w:rsid w:val="0094212A"/>
    <w:rsid w:val="00955C99"/>
    <w:rsid w:val="009666FB"/>
    <w:rsid w:val="009724A7"/>
    <w:rsid w:val="009955D4"/>
    <w:rsid w:val="009A1323"/>
    <w:rsid w:val="009A3CAF"/>
    <w:rsid w:val="009B5D43"/>
    <w:rsid w:val="009C114C"/>
    <w:rsid w:val="009C419D"/>
    <w:rsid w:val="009D4D3F"/>
    <w:rsid w:val="009E013E"/>
    <w:rsid w:val="009E1E91"/>
    <w:rsid w:val="009E2ED3"/>
    <w:rsid w:val="009F03CE"/>
    <w:rsid w:val="00A022F6"/>
    <w:rsid w:val="00A52370"/>
    <w:rsid w:val="00A53991"/>
    <w:rsid w:val="00AB35F2"/>
    <w:rsid w:val="00AB4CC9"/>
    <w:rsid w:val="00AB74C8"/>
    <w:rsid w:val="00AC2C22"/>
    <w:rsid w:val="00AD2B5B"/>
    <w:rsid w:val="00B3185F"/>
    <w:rsid w:val="00B5606C"/>
    <w:rsid w:val="00B91E2F"/>
    <w:rsid w:val="00BA2D99"/>
    <w:rsid w:val="00BC252C"/>
    <w:rsid w:val="00BD0B6F"/>
    <w:rsid w:val="00BD2B14"/>
    <w:rsid w:val="00BE2F83"/>
    <w:rsid w:val="00BF4C19"/>
    <w:rsid w:val="00C10CA5"/>
    <w:rsid w:val="00C344ED"/>
    <w:rsid w:val="00C53043"/>
    <w:rsid w:val="00C752CE"/>
    <w:rsid w:val="00C81864"/>
    <w:rsid w:val="00CB13BF"/>
    <w:rsid w:val="00CB486F"/>
    <w:rsid w:val="00CE6218"/>
    <w:rsid w:val="00D32EE1"/>
    <w:rsid w:val="00D347CC"/>
    <w:rsid w:val="00D35BA4"/>
    <w:rsid w:val="00D43092"/>
    <w:rsid w:val="00D76BBC"/>
    <w:rsid w:val="00D77CA7"/>
    <w:rsid w:val="00D95F97"/>
    <w:rsid w:val="00DA39FE"/>
    <w:rsid w:val="00DD3C5A"/>
    <w:rsid w:val="00DE7A0C"/>
    <w:rsid w:val="00E07ED1"/>
    <w:rsid w:val="00E600A2"/>
    <w:rsid w:val="00E6263E"/>
    <w:rsid w:val="00E6304C"/>
    <w:rsid w:val="00E67A03"/>
    <w:rsid w:val="00E9232E"/>
    <w:rsid w:val="00E92C16"/>
    <w:rsid w:val="00EE19C7"/>
    <w:rsid w:val="00F003FC"/>
    <w:rsid w:val="00F2147C"/>
    <w:rsid w:val="00F6211E"/>
    <w:rsid w:val="00F7292A"/>
    <w:rsid w:val="00F772BD"/>
    <w:rsid w:val="00F83257"/>
    <w:rsid w:val="00FC569F"/>
    <w:rsid w:val="00FD566F"/>
    <w:rsid w:val="00FF167D"/>
    <w:rsid w:val="00FF4796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4C871-1389-4866-9D20-39735202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0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59E2"/>
    <w:pPr>
      <w:spacing w:after="160" w:line="256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A5F1C-D541-495E-9EF8-DE332324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</cp:lastModifiedBy>
  <cp:revision>2</cp:revision>
  <cp:lastPrinted>2021-12-13T10:13:00Z</cp:lastPrinted>
  <dcterms:created xsi:type="dcterms:W3CDTF">2022-09-02T13:13:00Z</dcterms:created>
  <dcterms:modified xsi:type="dcterms:W3CDTF">2022-09-02T13:13:00Z</dcterms:modified>
</cp:coreProperties>
</file>